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>神經性疾病治療研究專業委員會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ind w:firstLine="361" w:firstLineChars="200"/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（申請編號:澳台港中醫師聯合促進會神經性疾病治療研究專業委員會第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今贊同貴會之宗旨,并願絶對遵守該會之章程,及加入神經性疾病治療研究專業委員會,今特此申請加入神經性疾病治療研究專業委員會之(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253" w:firstLineChars="9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神經性疾病治療研究專業委員會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31614E3D"/>
    <w:rsid w:val="31C60512"/>
    <w:rsid w:val="32CB27C2"/>
    <w:rsid w:val="3676457F"/>
    <w:rsid w:val="37807800"/>
    <w:rsid w:val="394048D0"/>
    <w:rsid w:val="3DA11B9A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3</TotalTime>
  <ScaleCrop>false</ScaleCrop>
  <LinksUpToDate>false</LinksUpToDate>
  <CharactersWithSpaces>545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2021-05-09T03:51:49Z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23642835E41D4B39A88F96F3D142E31F</vt:lpwstr>
  </property>
</Properties>
</file>